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DED050" w14:textId="1AC08E46" w:rsidR="00C51B47" w:rsidRDefault="00C51B47" w:rsidP="00C51B47">
      <w:pPr>
        <w:shd w:val="clear" w:color="auto" w:fill="FFFFFF"/>
        <w:spacing w:after="150" w:line="480" w:lineRule="atLeast"/>
        <w:rPr>
          <w:rFonts w:ascii="Source Sans Pro" w:eastAsia="Times New Roman" w:hAnsi="Source Sans Pro" w:cs="Times New Roman"/>
          <w:color w:val="323232"/>
          <w:sz w:val="24"/>
          <w:szCs w:val="24"/>
          <w:lang w:val="es-ES"/>
        </w:rPr>
      </w:pPr>
      <w:r>
        <w:rPr>
          <w:rFonts w:ascii="Source Sans Pro" w:eastAsia="Times New Roman" w:hAnsi="Source Sans Pro" w:cs="Times New Roman"/>
          <w:color w:val="323232"/>
          <w:sz w:val="24"/>
          <w:szCs w:val="24"/>
          <w:lang w:val="es-ES"/>
        </w:rPr>
        <w:t>Modulo 1 curso glaucoma</w:t>
      </w:r>
    </w:p>
    <w:p w14:paraId="05549CD2" w14:textId="77777777" w:rsidR="00C51B47" w:rsidRDefault="00C51B47" w:rsidP="00C51B47">
      <w:pPr>
        <w:shd w:val="clear" w:color="auto" w:fill="FFFFFF"/>
        <w:spacing w:after="150" w:line="480" w:lineRule="atLeast"/>
        <w:rPr>
          <w:rFonts w:ascii="Source Sans Pro" w:eastAsia="Times New Roman" w:hAnsi="Source Sans Pro" w:cs="Times New Roman"/>
          <w:color w:val="323232"/>
          <w:sz w:val="24"/>
          <w:szCs w:val="24"/>
          <w:lang w:val="es-ES"/>
        </w:rPr>
      </w:pPr>
    </w:p>
    <w:p w14:paraId="6F03EEB1" w14:textId="73EA79EE" w:rsidR="00C51B47" w:rsidRPr="00C51B47" w:rsidRDefault="00C51B47" w:rsidP="00C51B47">
      <w:pPr>
        <w:shd w:val="clear" w:color="auto" w:fill="FFFFFF"/>
        <w:spacing w:after="150" w:line="480" w:lineRule="atLeast"/>
        <w:rPr>
          <w:rFonts w:ascii="Source Sans Pro" w:eastAsia="Times New Roman" w:hAnsi="Source Sans Pro" w:cs="Times New Roman"/>
          <w:color w:val="323232"/>
          <w:sz w:val="24"/>
          <w:szCs w:val="24"/>
          <w:lang w:val="es-ES"/>
        </w:rPr>
      </w:pPr>
      <w:r w:rsidRPr="00C51B47">
        <w:rPr>
          <w:rFonts w:ascii="Source Sans Pro" w:eastAsia="Times New Roman" w:hAnsi="Source Sans Pro" w:cs="Times New Roman"/>
          <w:color w:val="323232"/>
          <w:sz w:val="24"/>
          <w:szCs w:val="24"/>
          <w:lang w:val="es-ES"/>
        </w:rPr>
        <w:t>1. ¿Cuál de las afirmaciones acerca de las definiciones de adherencia es errónea?:</w:t>
      </w:r>
    </w:p>
    <w:p w14:paraId="78375DAD" w14:textId="5F8FFAC5" w:rsidR="00C51B47" w:rsidRPr="00C51B47" w:rsidRDefault="00C51B47" w:rsidP="00C51B47">
      <w:pPr>
        <w:shd w:val="clear" w:color="auto" w:fill="FFFFFF"/>
        <w:spacing w:after="0" w:line="384" w:lineRule="atLeast"/>
        <w:textAlignment w:val="top"/>
        <w:rPr>
          <w:rFonts w:ascii="Source Sans Pro" w:eastAsia="Times New Roman" w:hAnsi="Source Sans Pro" w:cs="Times New Roman"/>
          <w:color w:val="323232"/>
          <w:sz w:val="24"/>
          <w:szCs w:val="24"/>
          <w:lang w:val="es-ES"/>
        </w:rPr>
      </w:pPr>
      <w:r w:rsidRPr="00C51B47">
        <w:rPr>
          <w:rFonts w:ascii="Source Sans Pro" w:eastAsia="Times New Roman" w:hAnsi="Source Sans Pro" w:cs="Times New Roman"/>
          <w:color w:val="323232"/>
          <w:sz w:val="24"/>
          <w:szCs w:val="24"/>
        </w:rPr>
        <w:object w:dxaOrig="1440" w:dyaOrig="1440" w14:anchorId="61175B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11" type="#_x0000_t75" style="width:20.25pt;height:18pt" o:ole="">
            <v:imagedata r:id="rId5" o:title=""/>
          </v:shape>
          <w:control r:id="rId6" w:name="DefaultOcxName1" w:shapeid="_x0000_i1111"/>
        </w:object>
      </w:r>
      <w:r w:rsidRPr="00C51B47">
        <w:rPr>
          <w:rFonts w:ascii="Source Sans Pro" w:eastAsia="Times New Roman" w:hAnsi="Source Sans Pro" w:cs="Times New Roman"/>
          <w:color w:val="323232"/>
          <w:sz w:val="24"/>
          <w:szCs w:val="24"/>
          <w:u w:val="single"/>
          <w:lang w:val="es-ES"/>
        </w:rPr>
        <w:t>b. El cumplimiento y la adherencia son muy parecidas, pero la adherencia es un proceso pasivo.</w:t>
      </w:r>
    </w:p>
    <w:p w14:paraId="43079FC6" w14:textId="5F7221D6" w:rsidR="00C51B47" w:rsidRPr="00C51B47" w:rsidRDefault="00C51B47" w:rsidP="00C51B47">
      <w:pPr>
        <w:shd w:val="clear" w:color="auto" w:fill="FFFFFF"/>
        <w:spacing w:after="0" w:line="384" w:lineRule="atLeast"/>
        <w:textAlignment w:val="top"/>
        <w:rPr>
          <w:rFonts w:ascii="Source Sans Pro" w:eastAsia="Times New Roman" w:hAnsi="Source Sans Pro" w:cs="Times New Roman"/>
          <w:color w:val="323232"/>
          <w:sz w:val="24"/>
          <w:szCs w:val="24"/>
          <w:lang w:val="es-ES"/>
        </w:rPr>
      </w:pPr>
      <w:r w:rsidRPr="00C51B47">
        <w:rPr>
          <w:rFonts w:ascii="Source Sans Pro" w:eastAsia="Times New Roman" w:hAnsi="Source Sans Pro" w:cs="Times New Roman"/>
          <w:color w:val="323232"/>
          <w:sz w:val="24"/>
          <w:szCs w:val="24"/>
        </w:rPr>
        <w:object w:dxaOrig="1440" w:dyaOrig="1440" w14:anchorId="582F3957">
          <v:shape id="_x0000_i1097" type="#_x0000_t75" style="width:20.25pt;height:18pt" o:ole="">
            <v:imagedata r:id="rId5" o:title=""/>
          </v:shape>
          <w:control r:id="rId7" w:name="DefaultOcxName2" w:shapeid="_x0000_i1097"/>
        </w:object>
      </w:r>
    </w:p>
    <w:p w14:paraId="168943D4" w14:textId="308FA90B" w:rsidR="00C51B47" w:rsidRDefault="00C51B47" w:rsidP="00C51B47">
      <w:pPr>
        <w:shd w:val="clear" w:color="auto" w:fill="FFFFFF"/>
        <w:spacing w:after="150" w:line="480" w:lineRule="atLeast"/>
        <w:rPr>
          <w:rFonts w:ascii="Source Sans Pro" w:eastAsia="Times New Roman" w:hAnsi="Source Sans Pro" w:cs="Times New Roman"/>
          <w:color w:val="323232"/>
          <w:sz w:val="24"/>
          <w:szCs w:val="24"/>
          <w:lang w:val="es-ES"/>
        </w:rPr>
      </w:pPr>
      <w:r w:rsidRPr="00C51B47">
        <w:rPr>
          <w:rFonts w:ascii="Source Sans Pro" w:eastAsia="Times New Roman" w:hAnsi="Source Sans Pro" w:cs="Times New Roman"/>
          <w:color w:val="323232"/>
          <w:sz w:val="24"/>
          <w:szCs w:val="24"/>
          <w:lang w:val="es-ES"/>
        </w:rPr>
        <w:t>2. ¿Cuál de las afirmaciones sobre los factores que influyen en la adherencia en el tratamiento del glaucoma es falsa?:</w:t>
      </w:r>
    </w:p>
    <w:p w14:paraId="4B90E6F3" w14:textId="77777777" w:rsidR="00C51B47" w:rsidRPr="00C51B47" w:rsidRDefault="00C51B47" w:rsidP="00C51B47">
      <w:pPr>
        <w:shd w:val="clear" w:color="auto" w:fill="FFFFFF"/>
        <w:spacing w:after="0" w:line="384" w:lineRule="atLeast"/>
        <w:textAlignment w:val="top"/>
        <w:rPr>
          <w:rFonts w:ascii="Source Sans Pro" w:eastAsia="Times New Roman" w:hAnsi="Source Sans Pro" w:cs="Times New Roman"/>
          <w:color w:val="323232"/>
          <w:sz w:val="24"/>
          <w:szCs w:val="24"/>
          <w:lang w:val="es-ES"/>
        </w:rPr>
      </w:pPr>
      <w:r w:rsidRPr="00C51B47">
        <w:rPr>
          <w:rFonts w:ascii="Source Sans Pro" w:eastAsia="Times New Roman" w:hAnsi="Source Sans Pro" w:cs="Times New Roman"/>
          <w:color w:val="323232"/>
          <w:sz w:val="24"/>
          <w:szCs w:val="24"/>
          <w:lang w:val="es-ES"/>
        </w:rPr>
        <w:t>c. Las mujeres tienen menor adhesión al tratamiento que los hombres.</w:t>
      </w:r>
    </w:p>
    <w:p w14:paraId="795AA94A" w14:textId="77777777" w:rsidR="00C51B47" w:rsidRPr="00C51B47" w:rsidRDefault="00C51B47" w:rsidP="00C51B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"/>
        </w:rPr>
      </w:pPr>
    </w:p>
    <w:p w14:paraId="261D6A08" w14:textId="77777777" w:rsidR="00C51B47" w:rsidRPr="00C51B47" w:rsidRDefault="00C51B47" w:rsidP="00C51B47">
      <w:pPr>
        <w:shd w:val="clear" w:color="auto" w:fill="FFFFFF"/>
        <w:spacing w:after="150" w:line="480" w:lineRule="atLeast"/>
        <w:rPr>
          <w:rFonts w:ascii="Source Sans Pro" w:eastAsia="Times New Roman" w:hAnsi="Source Sans Pro" w:cs="Times New Roman"/>
          <w:color w:val="323232"/>
          <w:sz w:val="24"/>
          <w:szCs w:val="24"/>
          <w:lang w:val="es-ES"/>
        </w:rPr>
      </w:pPr>
      <w:r w:rsidRPr="00C51B47">
        <w:rPr>
          <w:rFonts w:ascii="Source Sans Pro" w:eastAsia="Times New Roman" w:hAnsi="Source Sans Pro" w:cs="Times New Roman"/>
          <w:color w:val="323232"/>
          <w:sz w:val="24"/>
          <w:szCs w:val="24"/>
          <w:lang w:val="es-ES"/>
        </w:rPr>
        <w:t>3. ¿Cuál fue la barrera más destacada en el cumplimiento del tratamiento en los pacientes con poca adherencia al tratamiento en el estudio de Newman-Casey?:</w:t>
      </w:r>
    </w:p>
    <w:p w14:paraId="2D892AF2" w14:textId="3BFA6BD7" w:rsidR="00C51B47" w:rsidRPr="00C51B47" w:rsidRDefault="00C51B47" w:rsidP="00C51B47">
      <w:pPr>
        <w:shd w:val="clear" w:color="auto" w:fill="FFFFFF"/>
        <w:spacing w:after="0" w:line="384" w:lineRule="atLeast"/>
        <w:textAlignment w:val="top"/>
        <w:rPr>
          <w:rFonts w:ascii="Source Sans Pro" w:eastAsia="Times New Roman" w:hAnsi="Source Sans Pro" w:cs="Times New Roman"/>
          <w:color w:val="323232"/>
          <w:sz w:val="24"/>
          <w:szCs w:val="24"/>
          <w:lang w:val="es-ES"/>
        </w:rPr>
      </w:pPr>
      <w:r w:rsidRPr="00C51B47">
        <w:rPr>
          <w:rFonts w:ascii="Source Sans Pro" w:eastAsia="Times New Roman" w:hAnsi="Source Sans Pro" w:cs="Times New Roman"/>
          <w:color w:val="323232"/>
          <w:sz w:val="24"/>
          <w:szCs w:val="24"/>
        </w:rPr>
        <w:object w:dxaOrig="1440" w:dyaOrig="1440" w14:anchorId="2C5D2C5C">
          <v:shape id="_x0000_i1118" type="#_x0000_t75" style="width:20.25pt;height:18pt" o:ole="">
            <v:imagedata r:id="rId8" o:title=""/>
          </v:shape>
          <w:control r:id="rId9" w:name="DefaultOcxName12" w:shapeid="_x0000_i1118"/>
        </w:object>
      </w:r>
      <w:r w:rsidRPr="00C51B47">
        <w:rPr>
          <w:rFonts w:ascii="Source Sans Pro" w:eastAsia="Times New Roman" w:hAnsi="Source Sans Pro" w:cs="Times New Roman"/>
          <w:color w:val="323232"/>
          <w:sz w:val="24"/>
          <w:szCs w:val="24"/>
          <w:lang w:val="es-ES"/>
        </w:rPr>
        <w:t>c. Los olvidos de tratamiento.</w:t>
      </w:r>
    </w:p>
    <w:p w14:paraId="0B37A6FD" w14:textId="77777777" w:rsidR="00C51B47" w:rsidRPr="00C51B47" w:rsidRDefault="00C51B47" w:rsidP="00C51B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"/>
        </w:rPr>
      </w:pPr>
    </w:p>
    <w:p w14:paraId="44E244F3" w14:textId="7F4043B3" w:rsidR="00C51B47" w:rsidRPr="00C51B47" w:rsidRDefault="00C51B47" w:rsidP="00C51B47">
      <w:pPr>
        <w:shd w:val="clear" w:color="auto" w:fill="FFFFFF"/>
        <w:spacing w:after="150" w:line="480" w:lineRule="atLeast"/>
        <w:rPr>
          <w:rFonts w:ascii="Source Sans Pro" w:eastAsia="Times New Roman" w:hAnsi="Source Sans Pro" w:cs="Times New Roman"/>
          <w:color w:val="323232"/>
          <w:sz w:val="24"/>
          <w:szCs w:val="24"/>
          <w:lang w:val="es-ES"/>
        </w:rPr>
      </w:pPr>
      <w:r w:rsidRPr="00C51B47">
        <w:rPr>
          <w:rFonts w:ascii="Source Sans Pro" w:eastAsia="Times New Roman" w:hAnsi="Source Sans Pro" w:cs="Times New Roman"/>
          <w:color w:val="323232"/>
          <w:sz w:val="24"/>
          <w:szCs w:val="24"/>
          <w:lang w:val="es-ES"/>
        </w:rPr>
        <w:t>4. Con respecto a la enfermedad de la superficie ocular y el glaucoma, ¿qué afirmación es cierta?:</w:t>
      </w:r>
    </w:p>
    <w:p w14:paraId="0F3F2689" w14:textId="77FE2DBB" w:rsidR="00C51B47" w:rsidRPr="00C51B47" w:rsidRDefault="00C51B47" w:rsidP="00C51B47">
      <w:pPr>
        <w:shd w:val="clear" w:color="auto" w:fill="FFFFFF"/>
        <w:spacing w:after="0" w:line="384" w:lineRule="atLeast"/>
        <w:textAlignment w:val="top"/>
        <w:rPr>
          <w:rFonts w:ascii="Source Sans Pro" w:eastAsia="Times New Roman" w:hAnsi="Source Sans Pro" w:cs="Times New Roman"/>
          <w:color w:val="323232"/>
          <w:sz w:val="24"/>
          <w:szCs w:val="24"/>
          <w:lang w:val="es-ES"/>
        </w:rPr>
      </w:pPr>
      <w:r w:rsidRPr="00C51B47">
        <w:rPr>
          <w:rFonts w:ascii="Source Sans Pro" w:eastAsia="Times New Roman" w:hAnsi="Source Sans Pro" w:cs="Times New Roman"/>
          <w:color w:val="323232"/>
          <w:sz w:val="24"/>
          <w:szCs w:val="24"/>
        </w:rPr>
        <w:object w:dxaOrig="1440" w:dyaOrig="1440" w14:anchorId="54DA4DA2">
          <v:shape id="_x0000_i1101" type="#_x0000_t75" style="width:20.25pt;height:18pt" o:ole="">
            <v:imagedata r:id="rId8" o:title=""/>
          </v:shape>
          <w:control r:id="rId10" w:name="DefaultOcxName17" w:shapeid="_x0000_i1101"/>
        </w:object>
      </w:r>
      <w:r w:rsidRPr="00C51B47">
        <w:rPr>
          <w:rFonts w:ascii="Source Sans Pro" w:eastAsia="Times New Roman" w:hAnsi="Source Sans Pro" w:cs="Times New Roman"/>
          <w:color w:val="323232"/>
          <w:sz w:val="24"/>
          <w:szCs w:val="24"/>
          <w:lang w:val="es-ES"/>
        </w:rPr>
        <w:t xml:space="preserve">c. La enfermedad de la superficie ocular y la enfermedad de ojo seco pueden dificultar la </w:t>
      </w:r>
    </w:p>
    <w:p w14:paraId="04B61A08" w14:textId="77777777" w:rsidR="00C51B47" w:rsidRPr="00C51B47" w:rsidRDefault="00C51B47" w:rsidP="00C51B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"/>
        </w:rPr>
      </w:pPr>
    </w:p>
    <w:p w14:paraId="59116A97" w14:textId="77777777" w:rsidR="00C51B47" w:rsidRPr="00C51B47" w:rsidRDefault="00C51B47" w:rsidP="00C51B47">
      <w:pPr>
        <w:shd w:val="clear" w:color="auto" w:fill="FFFFFF"/>
        <w:spacing w:after="150" w:line="480" w:lineRule="atLeast"/>
        <w:rPr>
          <w:rFonts w:ascii="Source Sans Pro" w:eastAsia="Times New Roman" w:hAnsi="Source Sans Pro" w:cs="Times New Roman"/>
          <w:color w:val="323232"/>
          <w:sz w:val="24"/>
          <w:szCs w:val="24"/>
          <w:lang w:val="es-ES"/>
        </w:rPr>
      </w:pPr>
      <w:r w:rsidRPr="00C51B47">
        <w:rPr>
          <w:rFonts w:ascii="Source Sans Pro" w:eastAsia="Times New Roman" w:hAnsi="Source Sans Pro" w:cs="Times New Roman"/>
          <w:color w:val="323232"/>
          <w:sz w:val="24"/>
          <w:szCs w:val="24"/>
          <w:lang w:val="es-ES"/>
        </w:rPr>
        <w:t>5. ¿Cuál de las siguientes estrategias no es correcta para mejorar la adherencia al tratamiento?:</w:t>
      </w:r>
    </w:p>
    <w:p w14:paraId="1AA7CF41" w14:textId="369EF0A2" w:rsidR="00C51B47" w:rsidRPr="00C51B47" w:rsidRDefault="00C51B47" w:rsidP="00C51B47">
      <w:pPr>
        <w:shd w:val="clear" w:color="auto" w:fill="FFFFFF"/>
        <w:spacing w:after="0" w:line="384" w:lineRule="atLeast"/>
        <w:textAlignment w:val="top"/>
        <w:rPr>
          <w:rFonts w:ascii="Source Sans Pro" w:eastAsia="Times New Roman" w:hAnsi="Source Sans Pro" w:cs="Times New Roman"/>
          <w:color w:val="323232"/>
          <w:sz w:val="24"/>
          <w:szCs w:val="24"/>
          <w:lang w:val="es-ES"/>
        </w:rPr>
      </w:pPr>
      <w:r w:rsidRPr="00C51B47">
        <w:rPr>
          <w:rFonts w:ascii="Source Sans Pro" w:eastAsia="Times New Roman" w:hAnsi="Source Sans Pro" w:cs="Times New Roman"/>
          <w:color w:val="323232"/>
          <w:sz w:val="24"/>
          <w:szCs w:val="24"/>
        </w:rPr>
        <w:object w:dxaOrig="1440" w:dyaOrig="1440" w14:anchorId="626CF4AA">
          <v:shape id="_x0000_i1100" type="#_x0000_t75" style="width:20.25pt;height:18pt" o:ole="">
            <v:imagedata r:id="rId8" o:title=""/>
          </v:shape>
          <w:control r:id="rId11" w:name="DefaultOcxName21" w:shapeid="_x0000_i1100"/>
        </w:object>
      </w:r>
      <w:r w:rsidRPr="00C51B47">
        <w:rPr>
          <w:rFonts w:ascii="Source Sans Pro" w:eastAsia="Times New Roman" w:hAnsi="Source Sans Pro" w:cs="Times New Roman"/>
          <w:color w:val="323232"/>
          <w:sz w:val="24"/>
          <w:szCs w:val="24"/>
          <w:lang w:val="es-ES"/>
        </w:rPr>
        <w:t>b. Asumir que la mayoría de los pacientes son adherentes al tratamiento.</w:t>
      </w:r>
    </w:p>
    <w:p w14:paraId="30B97187" w14:textId="6D98A031" w:rsidR="00F54BCB" w:rsidRDefault="0031262E">
      <w:pPr>
        <w:rPr>
          <w:lang w:val="es-ES"/>
        </w:rPr>
      </w:pPr>
    </w:p>
    <w:p w14:paraId="134675A5" w14:textId="111C0426" w:rsidR="0031262E" w:rsidRDefault="0031262E">
      <w:pPr>
        <w:rPr>
          <w:lang w:val="es-ES"/>
        </w:rPr>
      </w:pPr>
    </w:p>
    <w:p w14:paraId="7AD7EB09" w14:textId="4860B22D" w:rsidR="0031262E" w:rsidRDefault="0031262E">
      <w:pPr>
        <w:rPr>
          <w:lang w:val="es-ES"/>
        </w:rPr>
      </w:pPr>
    </w:p>
    <w:p w14:paraId="40A05691" w14:textId="438CE266" w:rsidR="0031262E" w:rsidRDefault="0031262E">
      <w:pPr>
        <w:rPr>
          <w:lang w:val="es-ES"/>
        </w:rPr>
      </w:pPr>
      <w:r>
        <w:rPr>
          <w:lang w:val="es-ES"/>
        </w:rPr>
        <w:t>Modulo 2:</w:t>
      </w:r>
    </w:p>
    <w:p w14:paraId="0ED63F9D" w14:textId="29A273DD" w:rsidR="0031262E" w:rsidRPr="0031262E" w:rsidRDefault="0031262E" w:rsidP="0031262E">
      <w:pPr>
        <w:pStyle w:val="ListParagraph"/>
        <w:numPr>
          <w:ilvl w:val="0"/>
          <w:numId w:val="1"/>
        </w:numPr>
        <w:rPr>
          <w:rFonts w:ascii="Source Sans Pro" w:hAnsi="Source Sans Pro"/>
          <w:b/>
          <w:bCs/>
          <w:color w:val="323232"/>
          <w:shd w:val="clear" w:color="auto" w:fill="FFFFFF"/>
          <w:lang w:val="es-ES"/>
        </w:rPr>
      </w:pPr>
      <w:r w:rsidRPr="0031262E">
        <w:rPr>
          <w:rFonts w:ascii="Source Sans Pro" w:hAnsi="Source Sans Pro"/>
          <w:b/>
          <w:bCs/>
          <w:color w:val="323232"/>
          <w:shd w:val="clear" w:color="auto" w:fill="FFFFFF"/>
          <w:lang w:val="es-ES"/>
        </w:rPr>
        <w:t>¿Cuál de las siguientes afirmaciones acerca del glaucoma y la superficie ocular es incorrecta?</w:t>
      </w:r>
      <w:r>
        <w:rPr>
          <w:rFonts w:ascii="Source Sans Pro" w:hAnsi="Source Sans Pro"/>
          <w:b/>
          <w:bCs/>
          <w:color w:val="323232"/>
          <w:shd w:val="clear" w:color="auto" w:fill="FFFFFF"/>
          <w:lang w:val="es-ES"/>
        </w:rPr>
        <w:t xml:space="preserve"> </w:t>
      </w:r>
      <w:r w:rsidRPr="0031262E">
        <w:rPr>
          <w:rFonts w:ascii="Source Sans Pro" w:hAnsi="Source Sans Pro"/>
          <w:color w:val="323232"/>
          <w:shd w:val="clear" w:color="auto" w:fill="FFFFFF"/>
          <w:lang w:val="es-ES"/>
        </w:rPr>
        <w:t>e. La prevalencia de la enfermedad de ojo seco oscila entre el 5 y el 80% de los pacientes, siendo mayor en hombres.</w:t>
      </w:r>
    </w:p>
    <w:p w14:paraId="15446326" w14:textId="2DC3942E" w:rsidR="0031262E" w:rsidRPr="0031262E" w:rsidRDefault="0031262E" w:rsidP="0031262E">
      <w:pPr>
        <w:pStyle w:val="ListParagraph"/>
        <w:numPr>
          <w:ilvl w:val="0"/>
          <w:numId w:val="1"/>
        </w:numPr>
        <w:rPr>
          <w:rFonts w:ascii="Source Sans Pro" w:hAnsi="Source Sans Pro"/>
          <w:color w:val="323232"/>
          <w:shd w:val="clear" w:color="auto" w:fill="FFFFFF"/>
          <w:lang w:val="es-ES"/>
        </w:rPr>
      </w:pPr>
      <w:r w:rsidRPr="0031262E">
        <w:rPr>
          <w:rFonts w:ascii="Source Sans Pro" w:hAnsi="Source Sans Pro"/>
          <w:b/>
          <w:bCs/>
          <w:color w:val="323232"/>
          <w:shd w:val="clear" w:color="auto" w:fill="FFFFFF"/>
          <w:lang w:val="es-ES"/>
        </w:rPr>
        <w:lastRenderedPageBreak/>
        <w:t>¿Cuál de los siguientes conservantes ha sido identificado en la mayoría de los estudios como el que mayor repercusión produce sobre la superficie ocular?:</w:t>
      </w:r>
      <w:r w:rsidRPr="0031262E">
        <w:rPr>
          <w:rFonts w:ascii="Source Sans Pro" w:hAnsi="Source Sans Pro"/>
          <w:b/>
          <w:bCs/>
          <w:color w:val="323232"/>
          <w:shd w:val="clear" w:color="auto" w:fill="FFFFFF"/>
          <w:lang w:val="es-ES"/>
        </w:rPr>
        <w:t xml:space="preserve"> </w:t>
      </w:r>
      <w:r w:rsidRPr="0031262E">
        <w:rPr>
          <w:rFonts w:ascii="Source Sans Pro" w:hAnsi="Source Sans Pro"/>
          <w:color w:val="323232"/>
          <w:shd w:val="clear" w:color="auto" w:fill="FFFFFF"/>
          <w:lang w:val="es-ES"/>
        </w:rPr>
        <w:t>c. Cloruro de benzalconio.</w:t>
      </w:r>
    </w:p>
    <w:p w14:paraId="2A703590" w14:textId="3A859590" w:rsidR="0031262E" w:rsidRPr="0031262E" w:rsidRDefault="0031262E" w:rsidP="0031262E">
      <w:pPr>
        <w:pStyle w:val="ListParagraph"/>
        <w:numPr>
          <w:ilvl w:val="0"/>
          <w:numId w:val="1"/>
        </w:numPr>
        <w:rPr>
          <w:lang w:val="es-ES"/>
        </w:rPr>
      </w:pPr>
      <w:r w:rsidRPr="0031262E">
        <w:rPr>
          <w:rFonts w:ascii="Source Sans Pro" w:hAnsi="Source Sans Pro"/>
          <w:b/>
          <w:bCs/>
          <w:color w:val="323232"/>
          <w:shd w:val="clear" w:color="auto" w:fill="FFFFFF"/>
          <w:lang w:val="es-ES"/>
        </w:rPr>
        <w:t>¿Qué modificación de la superficie ocular no es frecuente con el uso de conservantes?:</w:t>
      </w:r>
      <w:r w:rsidRPr="0031262E">
        <w:rPr>
          <w:rFonts w:ascii="Source Sans Pro" w:hAnsi="Source Sans Pro"/>
          <w:color w:val="323232"/>
          <w:shd w:val="clear" w:color="auto" w:fill="FFFFFF"/>
          <w:lang w:val="es-ES"/>
        </w:rPr>
        <w:t xml:space="preserve"> </w:t>
      </w:r>
      <w:r w:rsidRPr="0031262E">
        <w:rPr>
          <w:rFonts w:ascii="Source Sans Pro" w:hAnsi="Source Sans Pro"/>
          <w:color w:val="323232"/>
          <w:shd w:val="clear" w:color="auto" w:fill="FFFFFF"/>
          <w:lang w:val="es-ES"/>
        </w:rPr>
        <w:t>d. Aumento de las células caliciformes corneales.</w:t>
      </w:r>
    </w:p>
    <w:p w14:paraId="31C784D0" w14:textId="63D6C7C0" w:rsidR="0031262E" w:rsidRPr="0031262E" w:rsidRDefault="0031262E" w:rsidP="0031262E">
      <w:pPr>
        <w:pStyle w:val="ListParagraph"/>
        <w:numPr>
          <w:ilvl w:val="0"/>
          <w:numId w:val="1"/>
        </w:numPr>
        <w:rPr>
          <w:lang w:val="es-ES"/>
        </w:rPr>
      </w:pPr>
      <w:r w:rsidRPr="0031262E">
        <w:rPr>
          <w:rFonts w:ascii="Source Sans Pro" w:hAnsi="Source Sans Pro"/>
          <w:b/>
          <w:bCs/>
          <w:color w:val="323232"/>
          <w:shd w:val="clear" w:color="auto" w:fill="FFFFFF"/>
          <w:lang w:val="es-ES"/>
        </w:rPr>
        <w:t xml:space="preserve">En el estudio de </w:t>
      </w:r>
      <w:proofErr w:type="spellStart"/>
      <w:r w:rsidRPr="0031262E">
        <w:rPr>
          <w:rFonts w:ascii="Source Sans Pro" w:hAnsi="Source Sans Pro"/>
          <w:b/>
          <w:bCs/>
          <w:color w:val="323232"/>
          <w:shd w:val="clear" w:color="auto" w:fill="FFFFFF"/>
          <w:lang w:val="es-ES"/>
        </w:rPr>
        <w:t>Pellinen</w:t>
      </w:r>
      <w:proofErr w:type="spellEnd"/>
      <w:r w:rsidRPr="0031262E">
        <w:rPr>
          <w:rFonts w:ascii="Source Sans Pro" w:hAnsi="Source Sans Pro"/>
          <w:b/>
          <w:bCs/>
          <w:color w:val="323232"/>
          <w:shd w:val="clear" w:color="auto" w:fill="FFFFFF"/>
          <w:lang w:val="es-ES"/>
        </w:rPr>
        <w:t xml:space="preserve"> de 2012, ¿cuál de las siguientes formulaciones se toleró mejor por las células conjuntivales de forma significativa?:</w:t>
      </w:r>
      <w:r>
        <w:rPr>
          <w:rFonts w:ascii="Source Sans Pro" w:hAnsi="Source Sans Pro"/>
          <w:b/>
          <w:bCs/>
          <w:color w:val="323232"/>
          <w:shd w:val="clear" w:color="auto" w:fill="FFFFFF"/>
          <w:lang w:val="es-ES"/>
        </w:rPr>
        <w:t xml:space="preserve"> </w:t>
      </w:r>
      <w:r w:rsidRPr="0031262E">
        <w:rPr>
          <w:rFonts w:ascii="Source Sans Pro" w:hAnsi="Source Sans Pro"/>
          <w:color w:val="323232"/>
          <w:shd w:val="clear" w:color="auto" w:fill="FFFFFF"/>
          <w:lang w:val="es-ES"/>
        </w:rPr>
        <w:t xml:space="preserve">d. </w:t>
      </w:r>
      <w:proofErr w:type="spellStart"/>
      <w:r w:rsidRPr="0031262E">
        <w:rPr>
          <w:rFonts w:ascii="Source Sans Pro" w:hAnsi="Source Sans Pro"/>
          <w:color w:val="323232"/>
          <w:shd w:val="clear" w:color="auto" w:fill="FFFFFF"/>
          <w:lang w:val="es-ES"/>
        </w:rPr>
        <w:t>Tafluprost</w:t>
      </w:r>
      <w:proofErr w:type="spellEnd"/>
      <w:r w:rsidRPr="0031262E">
        <w:rPr>
          <w:rFonts w:ascii="Source Sans Pro" w:hAnsi="Source Sans Pro"/>
          <w:color w:val="323232"/>
          <w:shd w:val="clear" w:color="auto" w:fill="FFFFFF"/>
          <w:lang w:val="es-ES"/>
        </w:rPr>
        <w:t xml:space="preserve"> sin conservantes.</w:t>
      </w:r>
    </w:p>
    <w:p w14:paraId="41B9FBAC" w14:textId="63785AD6" w:rsidR="0031262E" w:rsidRPr="0031262E" w:rsidRDefault="0031262E" w:rsidP="0031262E">
      <w:pPr>
        <w:pStyle w:val="ListParagraph"/>
        <w:numPr>
          <w:ilvl w:val="0"/>
          <w:numId w:val="1"/>
        </w:numPr>
        <w:rPr>
          <w:lang w:val="es-ES"/>
        </w:rPr>
      </w:pPr>
      <w:r w:rsidRPr="0031262E">
        <w:rPr>
          <w:rFonts w:ascii="Source Sans Pro" w:hAnsi="Source Sans Pro"/>
          <w:b/>
          <w:bCs/>
          <w:color w:val="323232"/>
          <w:shd w:val="clear" w:color="auto" w:fill="FFFFFF"/>
          <w:lang w:val="es-ES"/>
        </w:rPr>
        <w:t>¿Cuál de los siguientes excipientes son utilizados para incrementar la solubilidad del principio activo?:</w:t>
      </w:r>
      <w:r w:rsidRPr="0031262E">
        <w:rPr>
          <w:rFonts w:ascii="Source Sans Pro" w:hAnsi="Source Sans Pro"/>
          <w:color w:val="323232"/>
          <w:shd w:val="clear" w:color="auto" w:fill="FFFFFF"/>
          <w:lang w:val="es-ES"/>
        </w:rPr>
        <w:t xml:space="preserve"> </w:t>
      </w:r>
      <w:r w:rsidRPr="0031262E">
        <w:rPr>
          <w:rFonts w:ascii="Source Sans Pro" w:hAnsi="Source Sans Pro"/>
          <w:color w:val="323232"/>
          <w:shd w:val="clear" w:color="auto" w:fill="FFFFFF"/>
          <w:lang w:val="es-ES"/>
        </w:rPr>
        <w:t>c. Cosolventes y tensioactivos.</w:t>
      </w:r>
    </w:p>
    <w:sectPr w:rsidR="0031262E" w:rsidRPr="003126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A6C71"/>
    <w:multiLevelType w:val="hybridMultilevel"/>
    <w:tmpl w:val="58E49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B47"/>
    <w:rsid w:val="00291E59"/>
    <w:rsid w:val="0031262E"/>
    <w:rsid w:val="00AB2C21"/>
    <w:rsid w:val="00C51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DD425"/>
  <w15:chartTrackingRefBased/>
  <w15:docId w15:val="{662795B1-613E-4788-958E-3D518DD11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C51B47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C51B47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C51B47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C51B47"/>
    <w:rPr>
      <w:rFonts w:ascii="Arial" w:hAnsi="Arial" w:cs="Arial"/>
      <w:vanish/>
      <w:sz w:val="16"/>
      <w:szCs w:val="16"/>
    </w:rPr>
  </w:style>
  <w:style w:type="paragraph" w:styleId="ListParagraph">
    <w:name w:val="List Paragraph"/>
    <w:basedOn w:val="Normal"/>
    <w:uiPriority w:val="34"/>
    <w:qFormat/>
    <w:rsid w:val="003126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94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361737">
                  <w:marLeft w:val="75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15900">
                  <w:marLeft w:val="75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51903">
                  <w:marLeft w:val="75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203651">
                  <w:marLeft w:val="75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489699">
                  <w:marLeft w:val="75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830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92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572766">
                  <w:marLeft w:val="75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79860">
                  <w:marLeft w:val="75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580874">
                  <w:marLeft w:val="75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290029">
                  <w:marLeft w:val="75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586525">
                  <w:marLeft w:val="75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846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20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895863">
                  <w:marLeft w:val="75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295702">
                  <w:marLeft w:val="75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09483">
                  <w:marLeft w:val="75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478471">
                  <w:marLeft w:val="75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249062">
                  <w:marLeft w:val="75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886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21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374946">
                  <w:marLeft w:val="75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28381">
                  <w:marLeft w:val="75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928271">
                  <w:marLeft w:val="75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460819">
                  <w:marLeft w:val="75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303932">
                  <w:marLeft w:val="75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009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24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855436">
                  <w:marLeft w:val="75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652298">
                  <w:marLeft w:val="75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61257">
                  <w:marLeft w:val="75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309882">
                  <w:marLeft w:val="75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276366">
                  <w:marLeft w:val="75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ntrol" Target="activeX/activeX2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control" Target="activeX/activeX5.xml"/><Relationship Id="rId5" Type="http://schemas.openxmlformats.org/officeDocument/2006/relationships/image" Target="media/image1.wmf"/><Relationship Id="rId10" Type="http://schemas.openxmlformats.org/officeDocument/2006/relationships/control" Target="activeX/activeX4.xml"/><Relationship Id="rId4" Type="http://schemas.openxmlformats.org/officeDocument/2006/relationships/webSettings" Target="webSettings.xml"/><Relationship Id="rId9" Type="http://schemas.openxmlformats.org/officeDocument/2006/relationships/control" Target="activeX/activeX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296</Words>
  <Characters>1692</Characters>
  <Application>Microsoft Office Word</Application>
  <DocSecurity>0</DocSecurity>
  <Lines>14</Lines>
  <Paragraphs>3</Paragraphs>
  <ScaleCrop>false</ScaleCrop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Alina</cp:lastModifiedBy>
  <cp:revision>3</cp:revision>
  <dcterms:created xsi:type="dcterms:W3CDTF">2020-10-21T14:30:00Z</dcterms:created>
  <dcterms:modified xsi:type="dcterms:W3CDTF">2020-10-21T14:53:00Z</dcterms:modified>
</cp:coreProperties>
</file>